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center"/>
        <w:rPr>
          <w:sz w:val="44"/>
          <w:szCs w:val="44"/>
        </w:rPr>
      </w:pPr>
      <w:r>
        <w:rPr>
          <w:i w:val="0"/>
          <w:iCs w:val="0"/>
          <w:caps w:val="0"/>
          <w:color w:val="4B4B4B"/>
          <w:spacing w:val="0"/>
          <w:sz w:val="44"/>
          <w:szCs w:val="44"/>
        </w:rPr>
        <w:t>教育部关于印发《高等学校课程思政建设</w:t>
      </w:r>
      <w:r>
        <w:rPr>
          <w:i w:val="0"/>
          <w:iCs w:val="0"/>
          <w:caps w:val="0"/>
          <w:color w:val="4B4B4B"/>
          <w:spacing w:val="0"/>
          <w:sz w:val="44"/>
          <w:szCs w:val="44"/>
        </w:rPr>
        <w:br w:type="textWrapping"/>
      </w:r>
      <w:r>
        <w:rPr>
          <w:i w:val="0"/>
          <w:iCs w:val="0"/>
          <w:caps w:val="0"/>
          <w:color w:val="4B4B4B"/>
          <w:spacing w:val="0"/>
          <w:sz w:val="44"/>
          <w:szCs w:val="44"/>
        </w:rPr>
        <w:t>指导纲要》的通知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right"/>
        <w:rPr>
          <w:sz w:val="28"/>
          <w:szCs w:val="28"/>
        </w:rPr>
      </w:pPr>
      <w:bookmarkStart w:id="0" w:name="_GoBack"/>
      <w:r>
        <w:rPr>
          <w:rFonts w:hint="eastAsia" w:ascii="微软雅黑" w:hAnsi="微软雅黑" w:eastAsia="微软雅黑" w:cs="微软雅黑"/>
          <w:i w:val="0"/>
          <w:iCs w:val="0"/>
          <w:caps w:val="0"/>
          <w:color w:val="4B4B4B"/>
          <w:spacing w:val="0"/>
          <w:sz w:val="28"/>
          <w:szCs w:val="28"/>
        </w:rPr>
        <w:t>教高〔2020〕3号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《高等学校课程思政建设指导纲要》已经教育部党组会议审议通过，现印发给你们，请结合实际认真贯彻执行。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sz w:val="28"/>
          <w:szCs w:val="28"/>
        </w:rPr>
      </w:pPr>
      <w:r>
        <w:rPr>
          <w:rFonts w:hint="eastAsia" w:ascii="微软雅黑" w:hAnsi="微软雅黑" w:eastAsia="微软雅黑" w:cs="微软雅黑"/>
          <w:i w:val="0"/>
          <w:iCs w:val="0"/>
          <w:caps w:val="0"/>
          <w:color w:val="4B4B4B"/>
          <w:spacing w:val="0"/>
          <w:sz w:val="28"/>
          <w:szCs w:val="28"/>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sz w:val="28"/>
          <w:szCs w:val="28"/>
        </w:rPr>
      </w:pPr>
      <w:r>
        <w:rPr>
          <w:rFonts w:hint="eastAsia" w:ascii="微软雅黑" w:hAnsi="微软雅黑" w:eastAsia="微软雅黑" w:cs="微软雅黑"/>
          <w:i w:val="0"/>
          <w:iCs w:val="0"/>
          <w:caps w:val="0"/>
          <w:color w:val="4B4B4B"/>
          <w:spacing w:val="0"/>
          <w:sz w:val="28"/>
          <w:szCs w:val="28"/>
        </w:rPr>
        <w:t>2020年5月28日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center"/>
        <w:rPr>
          <w:sz w:val="28"/>
          <w:szCs w:val="28"/>
        </w:rPr>
      </w:pPr>
      <w:r>
        <w:rPr>
          <w:rFonts w:hint="eastAsia" w:ascii="微软雅黑" w:hAnsi="微软雅黑" w:eastAsia="微软雅黑" w:cs="微软雅黑"/>
          <w:b/>
          <w:bCs/>
          <w:i w:val="0"/>
          <w:iCs w:val="0"/>
          <w:caps w:val="0"/>
          <w:color w:val="4B4B4B"/>
          <w:spacing w:val="0"/>
          <w:sz w:val="28"/>
          <w:szCs w:val="28"/>
        </w:rPr>
        <w:t>高等学校课程思政建设指导纲要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一、全面推进课程思政建设是落实立德树人根本任务的战略举措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二、课程思政建设是全面提高人才培养质量的重要任务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三、明确课程思政建设目标要求和内容重点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四、科学设计课程思政教学体系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五、结合专业特点分类推进课程思政建设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专业课程是课程思政建设的基本载体。要深入梳理专业课教学内容，结合不同课程特点、思维方法和价值理念，深入挖掘课程思政元素，有机融入课程教学，达到润物无声的育人效果。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高等职业学校要结合高职专业分类和课程设置情况，落实好分类推进相关要求。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六、将课程思政融入课堂教学建设全过程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七、提升教师课程思政建设的意识和能力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八、建立健全课程思政建设质量评价体系和激励机制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九、加强课程思政建设组织实施和条件保障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rPr>
          <w:rFonts w:hint="eastAsia" w:eastAsiaTheme="minorEastAsia"/>
          <w:sz w:val="28"/>
          <w:szCs w:val="28"/>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2FiNzM3MzgzOTg3MjU5NmMzM2MzMWMyODU1Y2QifQ=="/>
  </w:docVars>
  <w:rsids>
    <w:rsidRoot w:val="00000000"/>
    <w:rsid w:val="2AE840C7"/>
    <w:rsid w:val="5729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2023-10-25T01:39:00Z</dcterms:created>
  <dc:creator>王</dc:creator>
  <cp:lastModifiedBy>烨烨</cp:lastModifiedBy>
  <dcterms:modified xsi:type="dcterms:W3CDTF">2023-10-25T02:21:17Z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6FA18B9DB98E4CC9AA9BC902741E8FE0_12</vt:lpwstr>
  </property>
</Properties>
</file>